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22" w:rsidRDefault="000733DF">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384"/>
        <w:gridCol w:w="7904"/>
      </w:tblGrid>
      <w:tr w:rsidR="00737922" w:rsidTr="00737922">
        <w:tc>
          <w:tcPr>
            <w:tcW w:w="1384" w:type="dxa"/>
            <w:tcBorders>
              <w:right w:val="single" w:sz="4" w:space="0" w:color="auto"/>
            </w:tcBorders>
          </w:tcPr>
          <w:p w:rsidR="00737922" w:rsidRDefault="0073792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Prilog IX</w:t>
            </w:r>
          </w:p>
        </w:tc>
        <w:tc>
          <w:tcPr>
            <w:tcW w:w="7904" w:type="dxa"/>
            <w:tcBorders>
              <w:top w:val="nil"/>
              <w:left w:val="single" w:sz="4" w:space="0" w:color="auto"/>
              <w:bottom w:val="nil"/>
              <w:right w:val="nil"/>
            </w:tcBorders>
          </w:tcPr>
          <w:p w:rsidR="00737922" w:rsidRDefault="0073792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Pojašnjenje kriterija odabira projekta</w:t>
            </w:r>
          </w:p>
        </w:tc>
      </w:tr>
    </w:tbl>
    <w:p w:rsidR="000733DF" w:rsidRDefault="000733DF">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F0075" w:rsidRDefault="00AE5DF5">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Kriteriji odabira projekata primjenjuju se na sve prijave projekata.</w:t>
      </w:r>
    </w:p>
    <w:p w:rsidR="00CF0075" w:rsidRDefault="00AE5DF5">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Pr>
          <w:rFonts w:ascii="Times New Roman" w:eastAsia="Times New Roman" w:hAnsi="Times New Roman" w:cs="Times New Roman"/>
          <w:b/>
          <w:sz w:val="24"/>
          <w:szCs w:val="24"/>
          <w:u w:val="single"/>
        </w:rPr>
        <w:t>ne može se dodijeliti veći iznos bodova</w:t>
      </w:r>
      <w:r>
        <w:rPr>
          <w:rFonts w:ascii="Times New Roman" w:eastAsia="Times New Roman" w:hAnsi="Times New Roman" w:cs="Times New Roman"/>
          <w:sz w:val="24"/>
          <w:szCs w:val="24"/>
        </w:rPr>
        <w:t xml:space="preserve"> u odnosu od onog što je zatraženo u </w:t>
      </w:r>
      <w:r>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rsidR="00CF0075" w:rsidRDefault="00AE5DF5">
      <w:pPr>
        <w:shd w:val="clear" w:color="auto" w:fill="FFFFFF"/>
        <w:spacing w:before="120"/>
        <w:jc w:val="both"/>
        <w:rPr>
          <w:rFonts w:ascii="Times New Roman" w:hAnsi="Times New Roman" w:cs="Times New Roman"/>
          <w:sz w:val="24"/>
          <w:szCs w:val="24"/>
        </w:rPr>
      </w:pPr>
      <w:r>
        <w:rPr>
          <w:rFonts w:ascii="Times New Roman" w:eastAsia="Times New Roman" w:hAnsi="Times New Roman" w:cs="Times New Roman"/>
          <w:sz w:val="24"/>
          <w:szCs w:val="24"/>
        </w:rPr>
        <w:t>Projekt</w:t>
      </w:r>
      <w:r>
        <w:rPr>
          <w:rFonts w:ascii="Times New Roman" w:hAnsi="Times New Roman" w:cs="Times New Roman"/>
          <w:sz w:val="24"/>
          <w:szCs w:val="24"/>
        </w:rPr>
        <w:t xml:space="preserve"> mora ostvariti minimalni broj bodova kako bi prošao prag prolaznosti. </w:t>
      </w:r>
    </w:p>
    <w:p w:rsidR="00CF0075" w:rsidRDefault="00CF0075">
      <w:pPr>
        <w:shd w:val="clear" w:color="auto" w:fill="FFFFFF"/>
        <w:spacing w:before="120"/>
        <w:jc w:val="both"/>
        <w:rPr>
          <w:rFonts w:ascii="Times New Roman" w:hAnsi="Times New Roman" w:cs="Times New Roman"/>
          <w:sz w:val="24"/>
          <w:szCs w:val="24"/>
        </w:rPr>
      </w:pPr>
    </w:p>
    <w:p w:rsidR="00CF0075" w:rsidRDefault="00CF0075">
      <w:pPr>
        <w:ind w:left="-567"/>
        <w:rPr>
          <w:rFonts w:ascii="Calibri" w:eastAsia="Calibri" w:hAnsi="Calibri" w:cs="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0"/>
        <w:gridCol w:w="7575"/>
        <w:gridCol w:w="1191"/>
      </w:tblGrid>
      <w:tr w:rsidR="00CF0075">
        <w:trPr>
          <w:trHeight w:val="63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00B0F0"/>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Mjera 3.1.1. Potpora za ulaganja  u društvenu  infrastrukturu  i </w:t>
            </w:r>
          </w:p>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proširenje lokalnih temeljnih usluga (TO 7.4.1.)</w:t>
            </w:r>
          </w:p>
        </w:tc>
      </w:tr>
      <w:tr w:rsidR="00CF0075">
        <w:trPr>
          <w:trHeight w:val="315"/>
        </w:trPr>
        <w:tc>
          <w:tcPr>
            <w:tcW w:w="590" w:type="dxa"/>
            <w:tcBorders>
              <w:left w:val="single" w:sz="4" w:space="0" w:color="000000"/>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R/b</w:t>
            </w: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KRITERIJ</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BODOVI</w:t>
            </w:r>
          </w:p>
        </w:tc>
      </w:tr>
      <w:tr w:rsidR="00CF0075">
        <w:trPr>
          <w:trHeight w:val="315"/>
        </w:trPr>
        <w:tc>
          <w:tcPr>
            <w:tcW w:w="590" w:type="dxa"/>
            <w:tcBorders>
              <w:left w:val="single" w:sz="4" w:space="0" w:color="000000"/>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575" w:type="dxa"/>
            <w:tcBorders>
              <w:top w:val="single" w:sz="4" w:space="0" w:color="000000"/>
              <w:bottom w:val="single" w:sz="4" w:space="0" w:color="000000"/>
              <w:right w:val="single" w:sz="4" w:space="0" w:color="000000"/>
            </w:tcBorders>
            <w:shd w:val="clear" w:color="auto" w:fill="D9D9D9"/>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Tip ulaganja/prioritetno ulaganje</w:t>
            </w:r>
          </w:p>
        </w:tc>
        <w:tc>
          <w:tcPr>
            <w:tcW w:w="1191" w:type="dxa"/>
            <w:tcBorders>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max. 25</w:t>
            </w:r>
          </w:p>
        </w:tc>
      </w:tr>
      <w:tr w:rsidR="00CF0075">
        <w:trPr>
          <w:trHeight w:val="300"/>
        </w:trPr>
        <w:tc>
          <w:tcPr>
            <w:tcW w:w="590" w:type="dxa"/>
            <w:vMerge w:val="restart"/>
            <w:tcBorders>
              <w:left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w:t>
            </w:r>
          </w:p>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w:t>
            </w: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sz w:val="24"/>
                <w:szCs w:val="24"/>
              </w:rPr>
            </w:pPr>
            <w:r>
              <w:rPr>
                <w:rFonts w:ascii="Times New Roman" w:eastAsia="Calibri" w:hAnsi="Times New Roman" w:cs="Times New Roman"/>
                <w:sz w:val="24"/>
                <w:szCs w:val="24"/>
              </w:rPr>
              <w:t>Ulaganje u rekonstrukciju (sa ili bez opremanja)</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CF0075">
        <w:trPr>
          <w:trHeight w:val="300"/>
        </w:trPr>
        <w:tc>
          <w:tcPr>
            <w:tcW w:w="590" w:type="dxa"/>
            <w:vMerge/>
            <w:tcBorders>
              <w:left w:val="single" w:sz="4" w:space="0" w:color="000000"/>
              <w:right w:val="single" w:sz="4" w:space="0" w:color="000000"/>
            </w:tcBorders>
            <w:shd w:val="clear" w:color="auto" w:fill="auto"/>
            <w:vAlign w:val="center"/>
          </w:tcPr>
          <w:p w:rsidR="00CF0075" w:rsidRDefault="00CF0075">
            <w:pPr>
              <w:jc w:val="center"/>
              <w:rPr>
                <w:rFonts w:ascii="Times New Roman" w:eastAsia="Calibri" w:hAnsi="Times New Roman" w:cs="Times New Roman"/>
                <w:b/>
                <w:bCs/>
                <w:sz w:val="24"/>
                <w:szCs w:val="24"/>
              </w:rPr>
            </w:pP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sz w:val="24"/>
                <w:szCs w:val="24"/>
              </w:rPr>
            </w:pPr>
            <w:r>
              <w:rPr>
                <w:rFonts w:ascii="Times New Roman" w:eastAsia="Calibri" w:hAnsi="Times New Roman" w:cs="Times New Roman"/>
                <w:sz w:val="24"/>
                <w:szCs w:val="24"/>
              </w:rPr>
              <w:t>Ulaganje u izgradnju (sa ili bez opremanja)</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CF0075">
        <w:trPr>
          <w:trHeight w:val="315"/>
        </w:trPr>
        <w:tc>
          <w:tcPr>
            <w:tcW w:w="590" w:type="dxa"/>
            <w:vMerge/>
            <w:tcBorders>
              <w:left w:val="single" w:sz="4" w:space="0" w:color="000000"/>
              <w:bottom w:val="single" w:sz="4" w:space="0" w:color="000000"/>
              <w:right w:val="single" w:sz="4" w:space="0" w:color="000000"/>
            </w:tcBorders>
            <w:shd w:val="clear" w:color="auto" w:fill="auto"/>
          </w:tcPr>
          <w:p w:rsidR="00CF0075" w:rsidRDefault="00CF0075">
            <w:pPr>
              <w:jc w:val="center"/>
              <w:rPr>
                <w:rFonts w:ascii="Times New Roman" w:eastAsia="Calibri" w:hAnsi="Times New Roman" w:cs="Times New Roman"/>
                <w:b/>
                <w:bCs/>
                <w:sz w:val="24"/>
                <w:szCs w:val="24"/>
              </w:rPr>
            </w:pP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sz w:val="24"/>
                <w:szCs w:val="24"/>
              </w:rPr>
            </w:pPr>
            <w:r>
              <w:rPr>
                <w:rFonts w:ascii="Times New Roman" w:eastAsia="Calibri" w:hAnsi="Times New Roman" w:cs="Times New Roman"/>
                <w:sz w:val="24"/>
                <w:szCs w:val="24"/>
              </w:rPr>
              <w:t>Ulaganje u opremanje</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F0075">
        <w:trPr>
          <w:trHeight w:val="315"/>
        </w:trPr>
        <w:tc>
          <w:tcPr>
            <w:tcW w:w="590" w:type="dxa"/>
            <w:tcBorders>
              <w:left w:val="single" w:sz="4" w:space="0" w:color="000000"/>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7575" w:type="dxa"/>
            <w:tcBorders>
              <w:top w:val="single" w:sz="4" w:space="0" w:color="000000"/>
              <w:bottom w:val="single" w:sz="4" w:space="0" w:color="000000"/>
              <w:right w:val="single" w:sz="4" w:space="0" w:color="000000"/>
            </w:tcBorders>
            <w:shd w:val="clear" w:color="auto" w:fill="D9D9D9"/>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Ulaganje doprinosi stvaranju novih radnih mjesta</w:t>
            </w:r>
          </w:p>
        </w:tc>
        <w:tc>
          <w:tcPr>
            <w:tcW w:w="1191" w:type="dxa"/>
            <w:tcBorders>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r>
      <w:tr w:rsidR="00CF0075">
        <w:trPr>
          <w:trHeight w:val="315"/>
        </w:trPr>
        <w:tc>
          <w:tcPr>
            <w:tcW w:w="590" w:type="dxa"/>
            <w:tcBorders>
              <w:left w:val="single" w:sz="4" w:space="0" w:color="000000"/>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7575" w:type="dxa"/>
            <w:tcBorders>
              <w:top w:val="single" w:sz="4" w:space="0" w:color="000000"/>
              <w:bottom w:val="single" w:sz="4" w:space="0" w:color="000000"/>
              <w:right w:val="single" w:sz="4" w:space="0" w:color="000000"/>
            </w:tcBorders>
            <w:shd w:val="clear" w:color="auto" w:fill="D9D9D9"/>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Doprinos kvaliteti života (potencijalni korisnici)</w:t>
            </w:r>
          </w:p>
        </w:tc>
        <w:tc>
          <w:tcPr>
            <w:tcW w:w="1191" w:type="dxa"/>
            <w:tcBorders>
              <w:bottom w:val="single" w:sz="4" w:space="0" w:color="000000"/>
              <w:right w:val="single" w:sz="4" w:space="0" w:color="000000"/>
            </w:tcBorders>
            <w:shd w:val="clear" w:color="auto" w:fill="D9D9D9"/>
          </w:tcPr>
          <w:p w:rsidR="00CF0075" w:rsidRDefault="00AE5DF5">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max. 25</w:t>
            </w:r>
          </w:p>
        </w:tc>
      </w:tr>
      <w:tr w:rsidR="00CF0075">
        <w:trPr>
          <w:trHeight w:val="1984"/>
        </w:trPr>
        <w:tc>
          <w:tcPr>
            <w:tcW w:w="590" w:type="dxa"/>
            <w:tcBorders>
              <w:left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 </w:t>
            </w: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Ulaganje u javno dostupnu infrastrukturu</w:t>
            </w:r>
            <w:r>
              <w:rPr>
                <w:rFonts w:ascii="Times New Roman" w:eastAsia="Calibri" w:hAnsi="Times New Roman" w:cs="Times New Roman"/>
                <w:sz w:val="24"/>
                <w:szCs w:val="24"/>
              </w:rPr>
              <w:t xml:space="preserve"> otvorenu za sve pojedince i sve interesne skupine: javne zelene površine – parkovi i sl.; pješačke staze; pješačke zone; otvoreni odvodni kanali koji nisu sastavni dio ceste; groblja; javne prometne površine – trgovi, pothodnici, nadvožnjaci, javne stube i prolazi; tržnice; dječja igrališta, sportske građevine, rekreacijske zone na rijekama i jezerima, biciklističke staze i trake, tematski putovi i parkovi, turistički informativni centri i dr. - sukladno listi prihvatljivih troškova. </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CF0075">
        <w:trPr>
          <w:trHeight w:val="1119"/>
        </w:trPr>
        <w:tc>
          <w:tcPr>
            <w:tcW w:w="590" w:type="dxa"/>
            <w:tcBorders>
              <w:left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 </w:t>
            </w: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Ulaganje u multifunkcionalnu društvenu infrastrukturu</w:t>
            </w:r>
            <w:r>
              <w:rPr>
                <w:rFonts w:ascii="Times New Roman" w:eastAsia="Calibri" w:hAnsi="Times New Roman" w:cs="Times New Roman"/>
                <w:sz w:val="24"/>
                <w:szCs w:val="24"/>
              </w:rPr>
              <w:t xml:space="preserve"> za javnu uporabu: društveni domovi, kulturni centri, vatrogasni domovi i spremišta, planinarski domovi i skloništa, sportske građevine, objekti za slatkovodni sportski ribolov i dr.- sukladno listi prihvatljivih troškova.</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CF0075">
        <w:trPr>
          <w:trHeight w:val="2188"/>
        </w:trPr>
        <w:tc>
          <w:tcPr>
            <w:tcW w:w="590" w:type="dxa"/>
            <w:tcBorders>
              <w:left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 </w:t>
            </w:r>
          </w:p>
        </w:tc>
        <w:tc>
          <w:tcPr>
            <w:tcW w:w="7575" w:type="dxa"/>
            <w:tcBorders>
              <w:top w:val="single" w:sz="4" w:space="0" w:color="000000"/>
              <w:bottom w:val="single" w:sz="4" w:space="0" w:color="000000"/>
              <w:right w:val="single" w:sz="4" w:space="0" w:color="000000"/>
            </w:tcBorders>
            <w:shd w:val="clear" w:color="auto" w:fill="auto"/>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Ulaganja u građevine</w:t>
            </w:r>
            <w:r>
              <w:rPr>
                <w:rFonts w:ascii="Times New Roman" w:eastAsia="Calibri" w:hAnsi="Times New Roman" w:cs="Times New Roman"/>
                <w:sz w:val="24"/>
                <w:szCs w:val="24"/>
              </w:rPr>
              <w:t xml:space="preserve"> za ostvarivanje organizirane njege, odgoja, obrazovanja i zaštite djece do polaska u osnovnu školu (dječji vrtići, rekonstrukcija i opremanje prostora za izvođenje programa predškole u osnovnim školama te rekonstrukcija i opremanje prostora za igraonice pri knjižnicama, zdravstvenim, socijalnim, kulturnim i sportskim ustanovama, udrugama te drugim pravnim osobama u kojima se provode kraći programi odgojno-obrazovnog rada s djecom rane i predškolske dobi i dr. - sukladno listi prihvatljivih troškova.</w:t>
            </w:r>
          </w:p>
        </w:tc>
        <w:tc>
          <w:tcPr>
            <w:tcW w:w="1191" w:type="dxa"/>
            <w:tcBorders>
              <w:bottom w:val="single" w:sz="4" w:space="0" w:color="000000"/>
              <w:right w:val="single" w:sz="4" w:space="0" w:color="000000"/>
            </w:tcBorders>
            <w:shd w:val="clear" w:color="auto" w:fill="auto"/>
          </w:tcPr>
          <w:p w:rsidR="00CF0075" w:rsidRDefault="00AE5DF5">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F0075">
        <w:trPr>
          <w:trHeight w:val="315"/>
        </w:trPr>
        <w:tc>
          <w:tcPr>
            <w:tcW w:w="8165" w:type="dxa"/>
            <w:gridSpan w:val="2"/>
            <w:tcBorders>
              <w:top w:val="single" w:sz="4" w:space="0" w:color="000000"/>
              <w:left w:val="single" w:sz="4" w:space="0" w:color="000000"/>
              <w:bottom w:val="single" w:sz="4" w:space="0" w:color="000000"/>
              <w:right w:val="single" w:sz="4" w:space="0" w:color="000000"/>
            </w:tcBorders>
            <w:shd w:val="clear" w:color="auto" w:fill="00B0F0"/>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MAKSIMALNI BROJ BODOVA</w:t>
            </w:r>
          </w:p>
        </w:tc>
        <w:tc>
          <w:tcPr>
            <w:tcW w:w="1191" w:type="dxa"/>
            <w:tcBorders>
              <w:bottom w:val="single" w:sz="4" w:space="0" w:color="000000"/>
              <w:right w:val="single" w:sz="4" w:space="0" w:color="000000"/>
            </w:tcBorders>
            <w:shd w:val="clear" w:color="auto" w:fill="00B0F0"/>
          </w:tcPr>
          <w:p w:rsidR="00CF0075" w:rsidRDefault="00AE5DF5">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60</w:t>
            </w:r>
          </w:p>
        </w:tc>
      </w:tr>
      <w:tr w:rsidR="00CF0075">
        <w:trPr>
          <w:trHeight w:val="315"/>
        </w:trPr>
        <w:tc>
          <w:tcPr>
            <w:tcW w:w="816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F0075" w:rsidRDefault="00AE5DF5">
            <w:pPr>
              <w:rPr>
                <w:rFonts w:ascii="Times New Roman" w:eastAsia="Calibri" w:hAnsi="Times New Roman" w:cs="Times New Roman"/>
                <w:b/>
                <w:bCs/>
                <w:sz w:val="24"/>
                <w:szCs w:val="24"/>
              </w:rPr>
            </w:pPr>
            <w:r>
              <w:rPr>
                <w:rFonts w:ascii="Times New Roman" w:eastAsia="Calibri" w:hAnsi="Times New Roman" w:cs="Times New Roman"/>
                <w:b/>
                <w:bCs/>
                <w:sz w:val="24"/>
                <w:szCs w:val="24"/>
              </w:rPr>
              <w:t>PRAG PROLAZNOSTI</w:t>
            </w:r>
          </w:p>
        </w:tc>
        <w:tc>
          <w:tcPr>
            <w:tcW w:w="1191" w:type="dxa"/>
            <w:tcBorders>
              <w:bottom w:val="single" w:sz="4" w:space="0" w:color="000000"/>
              <w:right w:val="single" w:sz="4" w:space="0" w:color="000000"/>
            </w:tcBorders>
            <w:shd w:val="clear" w:color="000000" w:fill="FFFFFF"/>
          </w:tcPr>
          <w:p w:rsidR="00CF0075" w:rsidRDefault="00AE5DF5">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30</w:t>
            </w:r>
          </w:p>
        </w:tc>
      </w:tr>
    </w:tbl>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AE5DF5">
      <w:pPr>
        <w:spacing w:line="276" w:lineRule="auto"/>
        <w:rPr>
          <w:rFonts w:ascii="Times New Roman" w:hAnsi="Times New Roman" w:cs="Times New Roman"/>
          <w:sz w:val="24"/>
          <w:szCs w:val="24"/>
          <w:u w:val="single"/>
        </w:rPr>
      </w:pPr>
      <w:r>
        <w:rPr>
          <w:rFonts w:ascii="Times New Roman" w:hAnsi="Times New Roman" w:cs="Times New Roman"/>
          <w:b/>
          <w:sz w:val="24"/>
          <w:szCs w:val="24"/>
          <w:u w:val="single"/>
        </w:rPr>
        <w:t>Kriterij odabira broj 1</w:t>
      </w:r>
    </w:p>
    <w:p w:rsidR="00CF0075" w:rsidRDefault="00CF0075">
      <w:pPr>
        <w:spacing w:line="276" w:lineRule="auto"/>
        <w:rPr>
          <w:rFonts w:ascii="Times New Roman" w:hAnsi="Times New Roman" w:cs="Times New Roman"/>
          <w:sz w:val="24"/>
          <w:szCs w:val="24"/>
        </w:rPr>
      </w:pPr>
    </w:p>
    <w:p w:rsidR="00CF0075" w:rsidRDefault="00AE5DF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Prema kriteriju odabira broj 1, a koji se odnosi na </w:t>
      </w:r>
      <w:r>
        <w:rPr>
          <w:rFonts w:ascii="Times New Roman" w:hAnsi="Times New Roman" w:cs="Times New Roman"/>
          <w:b/>
          <w:sz w:val="24"/>
          <w:szCs w:val="24"/>
          <w:u w:val="single"/>
        </w:rPr>
        <w:t>tip ulaganja/prioritetno ulaganje</w:t>
      </w:r>
      <w:r>
        <w:rPr>
          <w:rFonts w:ascii="Times New Roman" w:hAnsi="Times New Roman" w:cs="Times New Roman"/>
          <w:sz w:val="24"/>
          <w:szCs w:val="24"/>
        </w:rPr>
        <w:t xml:space="preserve"> nositelj projekta može ostvariti:</w:t>
      </w:r>
    </w:p>
    <w:p w:rsidR="00CF0075" w:rsidRDefault="00CF0075">
      <w:pPr>
        <w:pStyle w:val="ListParagraph"/>
        <w:spacing w:line="276" w:lineRule="auto"/>
        <w:ind w:left="0"/>
        <w:jc w:val="both"/>
        <w:rPr>
          <w:rFonts w:ascii="Times New Roman" w:hAnsi="Times New Roman" w:cs="Times New Roman"/>
          <w:sz w:val="24"/>
          <w:szCs w:val="24"/>
        </w:rPr>
      </w:pPr>
    </w:p>
    <w:p w:rsidR="00CF0075" w:rsidRDefault="00AE5DF5">
      <w:pPr>
        <w:pStyle w:val="ListParagraph"/>
        <w:numPr>
          <w:ilvl w:val="0"/>
          <w:numId w:val="2"/>
        </w:numPr>
        <w:spacing w:after="240" w:line="276" w:lineRule="auto"/>
        <w:ind w:left="714" w:hanging="357"/>
        <w:jc w:val="both"/>
        <w:rPr>
          <w:rFonts w:ascii="Times New Roman" w:hAnsi="Times New Roman" w:cs="Times New Roman"/>
          <w:sz w:val="24"/>
          <w:szCs w:val="24"/>
        </w:rPr>
      </w:pPr>
      <w:r>
        <w:rPr>
          <w:rFonts w:ascii="Times New Roman" w:hAnsi="Times New Roman" w:cs="Times New Roman"/>
          <w:b/>
          <w:sz w:val="24"/>
          <w:szCs w:val="24"/>
        </w:rPr>
        <w:t>25 bodova</w:t>
      </w:r>
      <w:r>
        <w:rPr>
          <w:rFonts w:ascii="Times New Roman" w:hAnsi="Times New Roman" w:cs="Times New Roman"/>
          <w:sz w:val="24"/>
          <w:szCs w:val="24"/>
        </w:rPr>
        <w:t xml:space="preserve"> ukoliko se projekt/operacija za koji se podnosi Zahtjev za potporu odnosi na rekonstrukciju postojećih građevina sa ili bez opremanja,</w:t>
      </w:r>
    </w:p>
    <w:p w:rsidR="002F682E" w:rsidRDefault="002F682E" w:rsidP="002F682E">
      <w:pPr>
        <w:pStyle w:val="ListParagraph"/>
        <w:spacing w:after="240" w:line="276" w:lineRule="auto"/>
        <w:ind w:left="714"/>
        <w:jc w:val="both"/>
        <w:rPr>
          <w:rFonts w:ascii="Times New Roman" w:hAnsi="Times New Roman" w:cs="Times New Roman"/>
          <w:sz w:val="24"/>
          <w:szCs w:val="24"/>
        </w:rPr>
      </w:pPr>
    </w:p>
    <w:p w:rsidR="0076402F" w:rsidRPr="0076402F" w:rsidRDefault="00AE5DF5" w:rsidP="0076402F">
      <w:pPr>
        <w:pStyle w:val="ListParagraph"/>
        <w:numPr>
          <w:ilvl w:val="0"/>
          <w:numId w:val="2"/>
        </w:numPr>
        <w:spacing w:before="240" w:after="240" w:line="276" w:lineRule="auto"/>
        <w:ind w:left="714" w:hanging="357"/>
        <w:jc w:val="both"/>
        <w:rPr>
          <w:rFonts w:ascii="Times New Roman" w:hAnsi="Times New Roman" w:cs="Times New Roman"/>
          <w:sz w:val="24"/>
          <w:szCs w:val="24"/>
        </w:rPr>
      </w:pPr>
      <w:r>
        <w:rPr>
          <w:rFonts w:ascii="Times New Roman" w:hAnsi="Times New Roman" w:cs="Times New Roman"/>
          <w:b/>
          <w:sz w:val="24"/>
          <w:szCs w:val="24"/>
        </w:rPr>
        <w:t xml:space="preserve">20 bodova </w:t>
      </w:r>
      <w:r>
        <w:rPr>
          <w:rFonts w:ascii="Times New Roman" w:hAnsi="Times New Roman" w:cs="Times New Roman"/>
          <w:sz w:val="24"/>
          <w:szCs w:val="24"/>
        </w:rPr>
        <w:t>ukoliko se projekt/operacija za koji se podnosi Zahtjev za potporu odnosi na izgradnju novih građevina sa ili bez  opremanja,</w:t>
      </w:r>
      <w:bookmarkStart w:id="0" w:name="_GoBack"/>
      <w:bookmarkEnd w:id="0"/>
    </w:p>
    <w:p w:rsidR="0076402F" w:rsidRPr="0076402F" w:rsidRDefault="0076402F" w:rsidP="0076402F">
      <w:pPr>
        <w:pStyle w:val="ListParagraph"/>
        <w:spacing w:before="240" w:after="240" w:line="276" w:lineRule="auto"/>
        <w:ind w:left="714"/>
        <w:jc w:val="both"/>
        <w:rPr>
          <w:rFonts w:ascii="Times New Roman" w:hAnsi="Times New Roman" w:cs="Times New Roman"/>
          <w:sz w:val="24"/>
          <w:szCs w:val="24"/>
        </w:rPr>
      </w:pPr>
    </w:p>
    <w:p w:rsidR="00CF0075" w:rsidRDefault="005A4984">
      <w:pPr>
        <w:pStyle w:val="ListParagraph"/>
        <w:numPr>
          <w:ilvl w:val="0"/>
          <w:numId w:val="2"/>
        </w:numPr>
        <w:spacing w:before="240" w:after="240" w:line="276" w:lineRule="auto"/>
        <w:ind w:left="714" w:hanging="357"/>
        <w:jc w:val="both"/>
      </w:pPr>
      <w:r>
        <w:rPr>
          <w:rFonts w:ascii="Times New Roman" w:hAnsi="Times New Roman" w:cs="Times New Roman"/>
          <w:b/>
          <w:sz w:val="24"/>
          <w:szCs w:val="24"/>
        </w:rPr>
        <w:t>15</w:t>
      </w:r>
      <w:r w:rsidR="00AE5DF5">
        <w:rPr>
          <w:rFonts w:ascii="Times New Roman" w:hAnsi="Times New Roman" w:cs="Times New Roman"/>
          <w:b/>
          <w:sz w:val="24"/>
          <w:szCs w:val="24"/>
        </w:rPr>
        <w:t xml:space="preserve"> bodova </w:t>
      </w:r>
      <w:r w:rsidR="00AE5DF5">
        <w:rPr>
          <w:rFonts w:ascii="Times New Roman" w:hAnsi="Times New Roman" w:cs="Times New Roman"/>
          <w:sz w:val="24"/>
          <w:szCs w:val="24"/>
        </w:rPr>
        <w:t xml:space="preserve">ukoliko se projekt/operacija za koji se podnosi Zahtjev za potporu odnosi samo na ulaganje u opremanje postojećih, novih ili rekonstruiranih građevina i/ili  drugih objekata/prostora. </w:t>
      </w:r>
    </w:p>
    <w:p w:rsidR="00CF0075" w:rsidRDefault="00CF0075">
      <w:pPr>
        <w:pStyle w:val="ListParagraph"/>
        <w:spacing w:line="276" w:lineRule="auto"/>
        <w:ind w:left="0"/>
        <w:jc w:val="both"/>
        <w:rPr>
          <w:rFonts w:ascii="Times New Roman" w:hAnsi="Times New Roman" w:cs="Times New Roman"/>
          <w:sz w:val="24"/>
          <w:szCs w:val="24"/>
        </w:rPr>
      </w:pPr>
    </w:p>
    <w:p w:rsidR="002F682E" w:rsidRDefault="002F682E">
      <w:pPr>
        <w:pStyle w:val="ListParagraph"/>
        <w:spacing w:line="276" w:lineRule="auto"/>
        <w:ind w:left="0"/>
        <w:jc w:val="both"/>
        <w:rPr>
          <w:rFonts w:ascii="Times New Roman" w:hAnsi="Times New Roman" w:cs="Times New Roman"/>
          <w:sz w:val="24"/>
          <w:szCs w:val="24"/>
        </w:rPr>
      </w:pPr>
    </w:p>
    <w:p w:rsidR="00CF0075" w:rsidRDefault="00AE5DF5">
      <w:pPr>
        <w:pStyle w:val="ListParagraph"/>
        <w:spacing w:line="276"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Kriterij odabira broj 2</w:t>
      </w:r>
    </w:p>
    <w:p w:rsidR="00CF0075" w:rsidRDefault="00CF0075">
      <w:pPr>
        <w:pStyle w:val="ListParagraph"/>
        <w:spacing w:line="276" w:lineRule="auto"/>
        <w:ind w:left="0"/>
        <w:jc w:val="both"/>
        <w:rPr>
          <w:rFonts w:ascii="Times New Roman" w:hAnsi="Times New Roman" w:cs="Times New Roman"/>
          <w:b/>
          <w:sz w:val="24"/>
          <w:szCs w:val="24"/>
          <w:u w:val="single"/>
        </w:rPr>
      </w:pPr>
    </w:p>
    <w:p w:rsidR="00CF0075" w:rsidRDefault="00AE5DF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Ukoliko </w:t>
      </w:r>
      <w:r>
        <w:rPr>
          <w:rFonts w:ascii="Times New Roman" w:hAnsi="Times New Roman" w:cs="Times New Roman"/>
          <w:b/>
          <w:sz w:val="24"/>
          <w:szCs w:val="24"/>
          <w:u w:val="single"/>
        </w:rPr>
        <w:t>ulaganje doprinosi stvaranju novih radnih mjesta</w:t>
      </w:r>
      <w:r>
        <w:rPr>
          <w:rFonts w:ascii="Times New Roman" w:hAnsi="Times New Roman" w:cs="Times New Roman"/>
          <w:sz w:val="24"/>
          <w:szCs w:val="24"/>
        </w:rPr>
        <w:t xml:space="preserve">, i nositelj projekta želi ostvariti </w:t>
      </w:r>
      <w:r>
        <w:rPr>
          <w:rFonts w:ascii="Times New Roman" w:hAnsi="Times New Roman" w:cs="Times New Roman"/>
          <w:b/>
          <w:sz w:val="24"/>
          <w:szCs w:val="24"/>
        </w:rPr>
        <w:t>10 bodova</w:t>
      </w:r>
      <w:r>
        <w:rPr>
          <w:rFonts w:ascii="Times New Roman" w:hAnsi="Times New Roman" w:cs="Times New Roman"/>
          <w:sz w:val="24"/>
          <w:szCs w:val="24"/>
        </w:rPr>
        <w:t xml:space="preserve"> po navedenom kriteriju, dužan je u Prilogu III – Opis projekta (3.4.2. Stvaranje novih radnih mjesta) uz Odluku predstavničkog tijela jedinice lokalne samouprave o suglasnosti za provedbu ulaganja na području jedinice samouprave opisati na koji način projekt/operacija doprinosi stvaranju novih radnih mjesta (izravno i/ili neizravno) i opisati nova radna mjesta koja se planiraju ostvariti provedbom projekta/operacije (vrsta radnog mjesta, planirani broj radnih mjesta, planirana godina ili planirano razdoblje stvaranja novog radnog mjesta nakon realizacije projekta).</w:t>
      </w:r>
    </w:p>
    <w:p w:rsidR="00CF0075" w:rsidRDefault="00AE5DF5">
      <w:pPr>
        <w:pStyle w:val="ListParagraph"/>
        <w:spacing w:before="240" w:line="276" w:lineRule="auto"/>
        <w:ind w:left="0"/>
        <w:jc w:val="both"/>
        <w:rPr>
          <w:rFonts w:ascii="Times New Roman" w:hAnsi="Times New Roman" w:cs="Times New Roman"/>
          <w:sz w:val="24"/>
          <w:szCs w:val="24"/>
        </w:rPr>
      </w:pPr>
      <w:r>
        <w:rPr>
          <w:rFonts w:ascii="Times New Roman" w:hAnsi="Times New Roman" w:cs="Times New Roman"/>
          <w:sz w:val="24"/>
          <w:szCs w:val="24"/>
        </w:rPr>
        <w:t>Jednim radnim mjestom smatra se jedna novozaposlena osoba prema godišnjim satima rada (jedan zaposlenik na puno radno vrijeme ili više osoba čiji zbroj radnih sati na godišnjoj razini čini jednog zaposlenika).</w:t>
      </w:r>
    </w:p>
    <w:p w:rsidR="00CF0075" w:rsidRDefault="00CF0075">
      <w:pPr>
        <w:pStyle w:val="ListParagraph"/>
        <w:spacing w:line="276" w:lineRule="auto"/>
        <w:ind w:left="0"/>
        <w:jc w:val="both"/>
        <w:rPr>
          <w:rFonts w:ascii="Times New Roman" w:hAnsi="Times New Roman" w:cs="Times New Roman"/>
          <w:sz w:val="24"/>
          <w:szCs w:val="24"/>
        </w:rPr>
      </w:pPr>
    </w:p>
    <w:p w:rsidR="00CF0075" w:rsidRDefault="00CF0075">
      <w:pPr>
        <w:pStyle w:val="ListParagraph"/>
        <w:spacing w:line="276" w:lineRule="auto"/>
        <w:ind w:left="0"/>
        <w:jc w:val="both"/>
        <w:rPr>
          <w:rFonts w:ascii="Times New Roman" w:hAnsi="Times New Roman" w:cs="Times New Roman"/>
          <w:sz w:val="24"/>
          <w:szCs w:val="24"/>
        </w:rPr>
      </w:pPr>
    </w:p>
    <w:p w:rsidR="00CF0075" w:rsidRDefault="00AE5DF5">
      <w:pPr>
        <w:pStyle w:val="ListParagraph"/>
        <w:spacing w:line="276"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Kriterij odabira broj 3</w:t>
      </w:r>
    </w:p>
    <w:p w:rsidR="00CF0075" w:rsidRDefault="00CF0075">
      <w:pPr>
        <w:pStyle w:val="ListParagraph"/>
        <w:spacing w:line="276" w:lineRule="auto"/>
        <w:ind w:left="0"/>
        <w:jc w:val="both"/>
        <w:rPr>
          <w:rFonts w:ascii="Times New Roman" w:hAnsi="Times New Roman" w:cs="Times New Roman"/>
          <w:sz w:val="32"/>
          <w:szCs w:val="32"/>
        </w:rPr>
      </w:pPr>
    </w:p>
    <w:p w:rsidR="00CF0075" w:rsidRDefault="00AE5DF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Prema kriteriju broj 3, a koji se odnosi na </w:t>
      </w:r>
      <w:r>
        <w:rPr>
          <w:rFonts w:ascii="Times New Roman" w:hAnsi="Times New Roman" w:cs="Times New Roman"/>
          <w:b/>
          <w:sz w:val="24"/>
          <w:szCs w:val="24"/>
          <w:u w:val="single"/>
        </w:rPr>
        <w:t>doprinos kvaliteti života</w:t>
      </w:r>
      <w:r>
        <w:rPr>
          <w:rFonts w:ascii="Times New Roman" w:hAnsi="Times New Roman" w:cs="Times New Roman"/>
          <w:sz w:val="24"/>
          <w:szCs w:val="24"/>
          <w:u w:val="single"/>
        </w:rPr>
        <w:t>,</w:t>
      </w:r>
      <w:r>
        <w:rPr>
          <w:rFonts w:ascii="Times New Roman" w:hAnsi="Times New Roman" w:cs="Times New Roman"/>
          <w:sz w:val="24"/>
          <w:szCs w:val="24"/>
        </w:rPr>
        <w:t xml:space="preserve"> nositelj projekta ostvaruje bodove kako slijedi:</w:t>
      </w:r>
    </w:p>
    <w:p w:rsidR="00CF0075" w:rsidRDefault="00CF0075">
      <w:pPr>
        <w:pStyle w:val="ListParagraph"/>
        <w:spacing w:before="240" w:after="240" w:line="276" w:lineRule="auto"/>
        <w:ind w:left="714"/>
        <w:jc w:val="both"/>
        <w:rPr>
          <w:rFonts w:ascii="Times New Roman" w:hAnsi="Times New Roman" w:cs="Times New Roman"/>
          <w:sz w:val="24"/>
          <w:szCs w:val="24"/>
        </w:rPr>
      </w:pPr>
    </w:p>
    <w:p w:rsidR="00CF0075" w:rsidRDefault="00AE5DF5">
      <w:pPr>
        <w:pStyle w:val="ListParagraph"/>
        <w:numPr>
          <w:ilvl w:val="0"/>
          <w:numId w:val="3"/>
        </w:numPr>
        <w:spacing w:before="240" w:after="240" w:line="276" w:lineRule="auto"/>
        <w:ind w:left="714" w:hanging="357"/>
        <w:jc w:val="both"/>
        <w:rPr>
          <w:rFonts w:ascii="Times New Roman" w:hAnsi="Times New Roman" w:cs="Times New Roman"/>
          <w:color w:val="000000" w:themeColor="text1"/>
          <w:sz w:val="24"/>
          <w:szCs w:val="24"/>
        </w:rPr>
      </w:pPr>
      <w:r>
        <w:rPr>
          <w:rFonts w:ascii="Times New Roman" w:hAnsi="Times New Roman"/>
          <w:b/>
          <w:color w:val="000000" w:themeColor="text1"/>
          <w:sz w:val="24"/>
          <w:szCs w:val="24"/>
        </w:rPr>
        <w:t>25 bodova</w:t>
      </w:r>
      <w:r w:rsidR="00DD74D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ukoliko ulaže u javno dostupnu infrastrukturu</w:t>
      </w:r>
      <w:r>
        <w:rPr>
          <w:rFonts w:ascii="Times New Roman" w:hAnsi="Times New Roman"/>
          <w:color w:val="000000" w:themeColor="text1"/>
          <w:sz w:val="24"/>
          <w:szCs w:val="24"/>
        </w:rPr>
        <w:t xml:space="preserve"> otvorenu za sve pojedince i sve interesne skupine, a koja se odnosi na;</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javne zelene površine – parkove i sl., </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pješačke staze,</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pješačke zone, </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otvorene odvodne kanale (koji nisu sastavni dio ceste), </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lastRenderedPageBreak/>
        <w:t>groblja (komunalna infrastruktura i prateće građevine),</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javne prometne površine (trgovi, pothodnici, nadvožnjaci, javne stube i prolazi koji nisu sastavni dio ceste)</w:t>
      </w:r>
    </w:p>
    <w:p w:rsidR="00CF0075" w:rsidRPr="00C24D57"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tržnice,</w:t>
      </w:r>
    </w:p>
    <w:p w:rsidR="00CF0075" w:rsidRPr="00C24D57" w:rsidRDefault="00C24D57" w:rsidP="00C24D57">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dječja igrališta,</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sportske građevine,</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rekreacijske zone na rijekama i jezerima,</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biciklističke staze i trake,</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tematske putove i parkove</w:t>
      </w:r>
    </w:p>
    <w:p w:rsidR="00CF0075" w:rsidRPr="002F682E" w:rsidRDefault="00AE5DF5" w:rsidP="00090725">
      <w:pPr>
        <w:pStyle w:val="ListParagraph"/>
        <w:numPr>
          <w:ilvl w:val="0"/>
          <w:numId w:val="4"/>
        </w:numPr>
        <w:spacing w:before="240" w:after="240" w:line="276" w:lineRule="auto"/>
        <w:ind w:left="1208" w:hanging="357"/>
        <w:jc w:val="both"/>
      </w:pPr>
      <w:r>
        <w:rPr>
          <w:rFonts w:ascii="Times New Roman" w:hAnsi="Times New Roman"/>
          <w:color w:val="000000" w:themeColor="text1"/>
          <w:sz w:val="24"/>
          <w:szCs w:val="24"/>
        </w:rPr>
        <w:t>turističke informativne  centre i drugo</w:t>
      </w:r>
    </w:p>
    <w:p w:rsidR="002F682E" w:rsidRPr="00090725" w:rsidRDefault="002F682E" w:rsidP="002F682E">
      <w:pPr>
        <w:pStyle w:val="ListParagraph"/>
        <w:spacing w:before="240" w:after="240" w:line="276" w:lineRule="auto"/>
        <w:ind w:left="1208"/>
        <w:jc w:val="both"/>
      </w:pPr>
    </w:p>
    <w:p w:rsidR="00CF0075" w:rsidRDefault="00AE5DF5">
      <w:pPr>
        <w:pStyle w:val="ListParagraph"/>
        <w:numPr>
          <w:ilvl w:val="0"/>
          <w:numId w:val="3"/>
        </w:numPr>
        <w:spacing w:before="240" w:after="240" w:line="276" w:lineRule="auto"/>
        <w:ind w:left="714" w:hanging="357"/>
        <w:jc w:val="both"/>
        <w:rPr>
          <w:rFonts w:ascii="Times New Roman" w:hAnsi="Times New Roman" w:cs="Times New Roman"/>
          <w:b/>
          <w:color w:val="000000" w:themeColor="text1"/>
          <w:sz w:val="24"/>
          <w:szCs w:val="24"/>
        </w:rPr>
      </w:pPr>
      <w:r>
        <w:rPr>
          <w:rFonts w:ascii="Times New Roman" w:hAnsi="Times New Roman"/>
          <w:b/>
          <w:color w:val="000000" w:themeColor="text1"/>
          <w:sz w:val="24"/>
          <w:szCs w:val="24"/>
        </w:rPr>
        <w:t>20 bodova</w:t>
      </w:r>
      <w:r w:rsidR="00DD74D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ukoliko se ulaganje odnosi</w:t>
      </w:r>
      <w:r w:rsidR="00DD74D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na multifunkcionalnu društvenu infrastrukturu:</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društvene domove/kulturne centre,</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vatrogasne domove i spremišta,</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planinske domove i skloništa,</w:t>
      </w:r>
    </w:p>
    <w:p w:rsidR="00CF0075" w:rsidRDefault="00AE5DF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sportske građevine ,</w:t>
      </w:r>
    </w:p>
    <w:p w:rsidR="00CF0075" w:rsidRPr="002F682E" w:rsidRDefault="00AE5DF5" w:rsidP="00090725">
      <w:pPr>
        <w:pStyle w:val="ListParagraph"/>
        <w:numPr>
          <w:ilvl w:val="0"/>
          <w:numId w:val="4"/>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objekte za slatkovodni ribolov </w:t>
      </w:r>
    </w:p>
    <w:p w:rsidR="002F682E" w:rsidRPr="00090725" w:rsidRDefault="002F682E" w:rsidP="002F682E">
      <w:pPr>
        <w:pStyle w:val="ListParagraph"/>
        <w:spacing w:before="240" w:after="240" w:line="276" w:lineRule="auto"/>
        <w:ind w:left="1208"/>
        <w:jc w:val="both"/>
        <w:rPr>
          <w:rFonts w:ascii="Times New Roman" w:hAnsi="Times New Roman" w:cs="Times New Roman"/>
          <w:color w:val="000000" w:themeColor="text1"/>
          <w:sz w:val="24"/>
          <w:szCs w:val="24"/>
        </w:rPr>
      </w:pPr>
    </w:p>
    <w:p w:rsidR="00CF0075" w:rsidRDefault="00AE5DF5">
      <w:pPr>
        <w:pStyle w:val="ListParagraph"/>
        <w:numPr>
          <w:ilvl w:val="0"/>
          <w:numId w:val="3"/>
        </w:numPr>
        <w:spacing w:before="240" w:line="276" w:lineRule="auto"/>
        <w:ind w:left="714" w:hanging="35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 bodova</w:t>
      </w:r>
      <w:r w:rsidR="00DD74D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ukoliko ulaže u </w:t>
      </w:r>
      <w:r>
        <w:rPr>
          <w:rFonts w:ascii="Times New Roman" w:hAnsi="Times New Roman"/>
          <w:b/>
          <w:color w:val="000000" w:themeColor="text1"/>
          <w:sz w:val="24"/>
          <w:szCs w:val="24"/>
        </w:rPr>
        <w:t>građevinu</w:t>
      </w:r>
      <w:r>
        <w:rPr>
          <w:rFonts w:ascii="Times New Roman" w:hAnsi="Times New Roman"/>
          <w:color w:val="000000" w:themeColor="text1"/>
          <w:sz w:val="24"/>
          <w:szCs w:val="24"/>
        </w:rPr>
        <w:t xml:space="preserve"> za</w:t>
      </w:r>
      <w:r>
        <w:rPr>
          <w:rFonts w:ascii="Times New Roman" w:hAnsi="Times New Roman"/>
          <w:b/>
          <w:color w:val="000000" w:themeColor="text1"/>
          <w:sz w:val="24"/>
          <w:szCs w:val="24"/>
        </w:rPr>
        <w:t xml:space="preserve"> ostvarivanje organizirane njege, odgoja, obrazovanja i zaštite djece do polaska u osnovnu školu</w:t>
      </w:r>
      <w:r>
        <w:rPr>
          <w:rFonts w:ascii="Times New Roman" w:hAnsi="Times New Roman"/>
          <w:color w:val="000000" w:themeColor="text1"/>
          <w:sz w:val="24"/>
          <w:szCs w:val="24"/>
        </w:rPr>
        <w:t>, a koja se odnosi na:</w:t>
      </w:r>
    </w:p>
    <w:p w:rsidR="00CF0075" w:rsidRDefault="00AE5DF5">
      <w:pPr>
        <w:pStyle w:val="ListParagraph"/>
        <w:numPr>
          <w:ilvl w:val="0"/>
          <w:numId w:val="5"/>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dječje  vrtiće, </w:t>
      </w:r>
    </w:p>
    <w:p w:rsidR="00CF0075" w:rsidRDefault="00AE5DF5">
      <w:pPr>
        <w:pStyle w:val="ListParagraph"/>
        <w:numPr>
          <w:ilvl w:val="0"/>
          <w:numId w:val="5"/>
        </w:numPr>
        <w:spacing w:before="240" w:after="240" w:line="276" w:lineRule="auto"/>
        <w:ind w:left="1208" w:hanging="3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rekonstrukciju i opremanje prostora za izvođenje programa predškole u osnovnim školama te </w:t>
      </w:r>
    </w:p>
    <w:p w:rsidR="00CF0075" w:rsidRDefault="00AE5DF5">
      <w:pPr>
        <w:pStyle w:val="ListParagraph"/>
        <w:numPr>
          <w:ilvl w:val="0"/>
          <w:numId w:val="5"/>
        </w:numPr>
        <w:spacing w:before="240" w:after="240" w:line="276" w:lineRule="auto"/>
        <w:ind w:left="1276" w:hanging="425"/>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rekonstrukciju i opremanje prostora za igraonicu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w:t>
      </w:r>
    </w:p>
    <w:p w:rsidR="00CF0075" w:rsidRDefault="00CF0075">
      <w:pPr>
        <w:pStyle w:val="ListParagraph"/>
        <w:spacing w:line="276" w:lineRule="auto"/>
        <w:ind w:left="1276" w:hanging="283"/>
        <w:jc w:val="both"/>
        <w:rPr>
          <w:rFonts w:ascii="Times New Roman" w:hAnsi="Times New Roman" w:cs="Times New Roman"/>
          <w:color w:val="000000" w:themeColor="text1"/>
          <w:sz w:val="24"/>
          <w:szCs w:val="24"/>
        </w:rPr>
      </w:pPr>
    </w:p>
    <w:p w:rsidR="00CF0075" w:rsidRDefault="00CF0075">
      <w:pPr>
        <w:pStyle w:val="ListParagraph"/>
        <w:spacing w:line="276" w:lineRule="auto"/>
        <w:ind w:left="851"/>
        <w:jc w:val="both"/>
      </w:pPr>
    </w:p>
    <w:sectPr w:rsidR="00CF0075" w:rsidSect="00CF0075">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67659"/>
    <w:multiLevelType w:val="multilevel"/>
    <w:tmpl w:val="FADA21CA"/>
    <w:lvl w:ilvl="0">
      <w:start w:val="1"/>
      <w:numFmt w:val="bullet"/>
      <w:lvlText w:val=""/>
      <w:lvlJc w:val="left"/>
      <w:pPr>
        <w:ind w:left="702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8332AE7"/>
    <w:multiLevelType w:val="multilevel"/>
    <w:tmpl w:val="258A6222"/>
    <w:lvl w:ilvl="0">
      <w:start w:val="1"/>
      <w:numFmt w:val="bullet"/>
      <w:lvlText w:val=""/>
      <w:lvlJc w:val="left"/>
      <w:pPr>
        <w:ind w:left="785" w:hanging="360"/>
      </w:pPr>
      <w:rPr>
        <w:rFonts w:ascii="Wingdings" w:hAnsi="Wingdings" w:cs="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2" w15:restartNumberingAfterBreak="0">
    <w:nsid w:val="5222289C"/>
    <w:multiLevelType w:val="multilevel"/>
    <w:tmpl w:val="4FA4D35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9676C2A"/>
    <w:multiLevelType w:val="multilevel"/>
    <w:tmpl w:val="BFC0BB1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A5844CF"/>
    <w:multiLevelType w:val="multilevel"/>
    <w:tmpl w:val="E47047E4"/>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cs="Times New Roman"/>
        <w:b/>
        <w:color w:val="auto"/>
        <w:sz w:val="24"/>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F0075"/>
    <w:rsid w:val="000733DF"/>
    <w:rsid w:val="00090725"/>
    <w:rsid w:val="002F682E"/>
    <w:rsid w:val="005A4984"/>
    <w:rsid w:val="00737922"/>
    <w:rsid w:val="0076402F"/>
    <w:rsid w:val="009B5124"/>
    <w:rsid w:val="00AE5DF5"/>
    <w:rsid w:val="00C24D57"/>
    <w:rsid w:val="00CF0075"/>
    <w:rsid w:val="00DD74D7"/>
    <w:rsid w:val="00FC35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87464-ED7A-4184-B7B1-AA2C56ED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Naslov1Char"/>
    <w:uiPriority w:val="9"/>
    <w:qFormat/>
    <w:rsid w:val="00D30EA4"/>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customStyle="1" w:styleId="Heading21">
    <w:name w:val="Heading 21"/>
    <w:basedOn w:val="Normal"/>
    <w:next w:val="Normal"/>
    <w:link w:val="Naslov2Char"/>
    <w:uiPriority w:val="9"/>
    <w:unhideWhenUsed/>
    <w:qFormat/>
    <w:rsid w:val="00D30EA4"/>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customStyle="1" w:styleId="Heading31">
    <w:name w:val="Heading 31"/>
    <w:basedOn w:val="Normal"/>
    <w:next w:val="Normal"/>
    <w:link w:val="Naslov3Char"/>
    <w:uiPriority w:val="9"/>
    <w:unhideWhenUsed/>
    <w:qFormat/>
    <w:rsid w:val="00D30EA4"/>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customStyle="1" w:styleId="Heading41">
    <w:name w:val="Heading 41"/>
    <w:basedOn w:val="Normal"/>
    <w:next w:val="Normal"/>
    <w:link w:val="Naslov4Char"/>
    <w:uiPriority w:val="9"/>
    <w:unhideWhenUsed/>
    <w:qFormat/>
    <w:rsid w:val="00D30EA4"/>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customStyle="1" w:styleId="Heading51">
    <w:name w:val="Heading 51"/>
    <w:basedOn w:val="Normal"/>
    <w:next w:val="Normal"/>
    <w:link w:val="Naslov5Char"/>
    <w:uiPriority w:val="9"/>
    <w:unhideWhenUsed/>
    <w:qFormat/>
    <w:rsid w:val="00D30EA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customStyle="1" w:styleId="Heading61">
    <w:name w:val="Heading 61"/>
    <w:basedOn w:val="Normal"/>
    <w:next w:val="Normal"/>
    <w:link w:val="Naslov6Char"/>
    <w:uiPriority w:val="9"/>
    <w:unhideWhenUsed/>
    <w:qFormat/>
    <w:rsid w:val="00D30EA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customStyle="1" w:styleId="Heading71">
    <w:name w:val="Heading 71"/>
    <w:basedOn w:val="Normal"/>
    <w:next w:val="Normal"/>
    <w:link w:val="Naslov7Char"/>
    <w:uiPriority w:val="9"/>
    <w:unhideWhenUsed/>
    <w:qFormat/>
    <w:rsid w:val="00D30EA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customStyle="1" w:styleId="Heading81">
    <w:name w:val="Heading 81"/>
    <w:basedOn w:val="Normal"/>
    <w:next w:val="Normal"/>
    <w:link w:val="Naslov8Char"/>
    <w:uiPriority w:val="9"/>
    <w:unhideWhenUsed/>
    <w:qFormat/>
    <w:rsid w:val="00D30E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customStyle="1" w:styleId="Heading91">
    <w:name w:val="Heading 91"/>
    <w:basedOn w:val="Normal"/>
    <w:next w:val="Normal"/>
    <w:link w:val="Naslov9Char"/>
    <w:uiPriority w:val="9"/>
    <w:unhideWhenUsed/>
    <w:qFormat/>
    <w:rsid w:val="00D30E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customStyle="1" w:styleId="Naslov1Char">
    <w:name w:val="Naslov 1 Char"/>
    <w:basedOn w:val="DefaultParagraphFont"/>
    <w:link w:val="Heading11"/>
    <w:uiPriority w:val="9"/>
    <w:qFormat/>
    <w:rsid w:val="00D30EA4"/>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DefaultParagraphFont"/>
    <w:link w:val="Heading21"/>
    <w:uiPriority w:val="9"/>
    <w:qFormat/>
    <w:rsid w:val="00D30EA4"/>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DefaultParagraphFont"/>
    <w:link w:val="Heading31"/>
    <w:uiPriority w:val="9"/>
    <w:qFormat/>
    <w:rsid w:val="00D30EA4"/>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DefaultParagraphFont"/>
    <w:link w:val="Heading41"/>
    <w:uiPriority w:val="9"/>
    <w:qFormat/>
    <w:rsid w:val="00D30EA4"/>
    <w:rPr>
      <w:rFonts w:asciiTheme="majorHAnsi" w:eastAsiaTheme="majorEastAsia" w:hAnsiTheme="majorHAnsi" w:cstheme="majorBidi"/>
      <w:i/>
      <w:iCs/>
      <w:color w:val="365F91" w:themeColor="accent1" w:themeShade="BF"/>
    </w:rPr>
  </w:style>
  <w:style w:type="character" w:customStyle="1" w:styleId="Naslov5Char">
    <w:name w:val="Naslov 5 Char"/>
    <w:basedOn w:val="DefaultParagraphFont"/>
    <w:link w:val="Heading51"/>
    <w:uiPriority w:val="9"/>
    <w:qFormat/>
    <w:rsid w:val="00D30EA4"/>
    <w:rPr>
      <w:rFonts w:asciiTheme="majorHAnsi" w:eastAsiaTheme="majorEastAsia" w:hAnsiTheme="majorHAnsi" w:cstheme="majorBidi"/>
      <w:color w:val="365F91" w:themeColor="accent1" w:themeShade="BF"/>
    </w:rPr>
  </w:style>
  <w:style w:type="character" w:customStyle="1" w:styleId="Naslov6Char">
    <w:name w:val="Naslov 6 Char"/>
    <w:basedOn w:val="DefaultParagraphFont"/>
    <w:link w:val="Heading61"/>
    <w:uiPriority w:val="9"/>
    <w:qFormat/>
    <w:rsid w:val="00D30EA4"/>
    <w:rPr>
      <w:rFonts w:asciiTheme="majorHAnsi" w:eastAsiaTheme="majorEastAsia" w:hAnsiTheme="majorHAnsi" w:cstheme="majorBidi"/>
      <w:color w:val="243F60" w:themeColor="accent1" w:themeShade="7F"/>
    </w:rPr>
  </w:style>
  <w:style w:type="character" w:customStyle="1" w:styleId="Naslov7Char">
    <w:name w:val="Naslov 7 Char"/>
    <w:basedOn w:val="DefaultParagraphFont"/>
    <w:link w:val="Heading71"/>
    <w:uiPriority w:val="9"/>
    <w:qFormat/>
    <w:rsid w:val="00D30EA4"/>
    <w:rPr>
      <w:rFonts w:asciiTheme="majorHAnsi" w:eastAsiaTheme="majorEastAsia" w:hAnsiTheme="majorHAnsi" w:cstheme="majorBidi"/>
      <w:i/>
      <w:iCs/>
      <w:color w:val="243F60" w:themeColor="accent1" w:themeShade="7F"/>
    </w:rPr>
  </w:style>
  <w:style w:type="character" w:customStyle="1" w:styleId="Naslov8Char">
    <w:name w:val="Naslov 8 Char"/>
    <w:basedOn w:val="DefaultParagraphFont"/>
    <w:link w:val="Heading81"/>
    <w:uiPriority w:val="9"/>
    <w:qFormat/>
    <w:rsid w:val="00D30EA4"/>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DefaultParagraphFont"/>
    <w:link w:val="Heading91"/>
    <w:uiPriority w:val="9"/>
    <w:qFormat/>
    <w:rsid w:val="00D30EA4"/>
    <w:rPr>
      <w:rFonts w:asciiTheme="majorHAnsi" w:eastAsiaTheme="majorEastAsia" w:hAnsiTheme="majorHAnsi" w:cstheme="majorBidi"/>
      <w:i/>
      <w:iCs/>
      <w:color w:val="272727" w:themeColor="text1" w:themeTint="D8"/>
      <w:sz w:val="21"/>
      <w:szCs w:val="21"/>
    </w:rPr>
  </w:style>
  <w:style w:type="character" w:customStyle="1" w:styleId="TekstfusnoteChar">
    <w:name w:val="Tekst fusnote Char"/>
    <w:basedOn w:val="DefaultParagraphFont"/>
    <w:link w:val="FootnoteText1"/>
    <w:uiPriority w:val="99"/>
    <w:semiHidden/>
    <w:qFormat/>
    <w:rsid w:val="00AD05A8"/>
    <w:rPr>
      <w:sz w:val="20"/>
      <w:szCs w:val="20"/>
    </w:rPr>
  </w:style>
  <w:style w:type="character" w:customStyle="1" w:styleId="FootnoteCharacters">
    <w:name w:val="Footnote Characters"/>
    <w:basedOn w:val="DefaultParagraphFont"/>
    <w:uiPriority w:val="99"/>
    <w:semiHidden/>
    <w:unhideWhenUsed/>
    <w:qFormat/>
    <w:rsid w:val="00AD05A8"/>
    <w:rPr>
      <w:vertAlign w:val="superscript"/>
    </w:rPr>
  </w:style>
  <w:style w:type="character" w:customStyle="1" w:styleId="FootnoteAnchor">
    <w:name w:val="Footnote Anchor"/>
    <w:rsid w:val="00CF0075"/>
    <w:rPr>
      <w:vertAlign w:val="superscript"/>
    </w:rPr>
  </w:style>
  <w:style w:type="character" w:customStyle="1" w:styleId="ZaglavljeChar">
    <w:name w:val="Zaglavlje Char"/>
    <w:basedOn w:val="DefaultParagraphFont"/>
    <w:link w:val="Header1"/>
    <w:uiPriority w:val="99"/>
    <w:qFormat/>
    <w:rsid w:val="000A0742"/>
  </w:style>
  <w:style w:type="character" w:customStyle="1" w:styleId="PodnojeChar">
    <w:name w:val="Podnožje Char"/>
    <w:basedOn w:val="DefaultParagraphFont"/>
    <w:link w:val="Footer1"/>
    <w:uiPriority w:val="99"/>
    <w:qFormat/>
    <w:rsid w:val="000A0742"/>
  </w:style>
  <w:style w:type="character" w:customStyle="1" w:styleId="BalloonTextChar">
    <w:name w:val="Balloon Text Char"/>
    <w:basedOn w:val="DefaultParagraphFont"/>
    <w:link w:val="BalloonText"/>
    <w:uiPriority w:val="99"/>
    <w:semiHidden/>
    <w:qFormat/>
    <w:rsid w:val="00CD2A8C"/>
    <w:rPr>
      <w:rFonts w:ascii="Tahoma" w:hAnsi="Tahoma" w:cs="Tahoma"/>
      <w:sz w:val="16"/>
      <w:szCs w:val="16"/>
    </w:rPr>
  </w:style>
  <w:style w:type="character" w:customStyle="1" w:styleId="ListLabel1">
    <w:name w:val="ListLabel 1"/>
    <w:qFormat/>
    <w:rsid w:val="00CF0075"/>
    <w:rPr>
      <w:rFonts w:cs="Times New Roman"/>
      <w:b/>
      <w:color w:val="auto"/>
      <w:sz w:val="24"/>
    </w:rPr>
  </w:style>
  <w:style w:type="character" w:customStyle="1" w:styleId="ListLabel2">
    <w:name w:val="ListLabel 2"/>
    <w:qFormat/>
    <w:rsid w:val="00CF0075"/>
    <w:rPr>
      <w:rFonts w:cs="Courier New"/>
    </w:rPr>
  </w:style>
  <w:style w:type="character" w:customStyle="1" w:styleId="ListLabel3">
    <w:name w:val="ListLabel 3"/>
    <w:qFormat/>
    <w:rsid w:val="00CF0075"/>
    <w:rPr>
      <w:rFonts w:cs="Courier New"/>
    </w:rPr>
  </w:style>
  <w:style w:type="character" w:customStyle="1" w:styleId="ListLabel4">
    <w:name w:val="ListLabel 4"/>
    <w:qFormat/>
    <w:rsid w:val="00CF0075"/>
    <w:rPr>
      <w:rFonts w:cs="Courier New"/>
    </w:rPr>
  </w:style>
  <w:style w:type="character" w:customStyle="1" w:styleId="ListLabel5">
    <w:name w:val="ListLabel 5"/>
    <w:qFormat/>
    <w:rsid w:val="00CF0075"/>
    <w:rPr>
      <w:rFonts w:eastAsia="Calibri" w:cs="Times New Roman"/>
    </w:rPr>
  </w:style>
  <w:style w:type="character" w:customStyle="1" w:styleId="ListLabel6">
    <w:name w:val="ListLabel 6"/>
    <w:qFormat/>
    <w:rsid w:val="00CF0075"/>
    <w:rPr>
      <w:rFonts w:cs="Courier New"/>
    </w:rPr>
  </w:style>
  <w:style w:type="character" w:customStyle="1" w:styleId="ListLabel7">
    <w:name w:val="ListLabel 7"/>
    <w:qFormat/>
    <w:rsid w:val="00CF0075"/>
    <w:rPr>
      <w:rFonts w:cs="Courier New"/>
    </w:rPr>
  </w:style>
  <w:style w:type="character" w:customStyle="1" w:styleId="ListLabel8">
    <w:name w:val="ListLabel 8"/>
    <w:qFormat/>
    <w:rsid w:val="00CF0075"/>
    <w:rPr>
      <w:rFonts w:cs="Courier New"/>
    </w:rPr>
  </w:style>
  <w:style w:type="character" w:customStyle="1" w:styleId="ListLabel9">
    <w:name w:val="ListLabel 9"/>
    <w:qFormat/>
    <w:rsid w:val="00CF0075"/>
    <w:rPr>
      <w:rFonts w:cs="Courier New"/>
    </w:rPr>
  </w:style>
  <w:style w:type="character" w:customStyle="1" w:styleId="ListLabel10">
    <w:name w:val="ListLabel 10"/>
    <w:qFormat/>
    <w:rsid w:val="00CF0075"/>
    <w:rPr>
      <w:rFonts w:cs="Courier New"/>
    </w:rPr>
  </w:style>
  <w:style w:type="character" w:customStyle="1" w:styleId="ListLabel11">
    <w:name w:val="ListLabel 11"/>
    <w:qFormat/>
    <w:rsid w:val="00CF0075"/>
    <w:rPr>
      <w:rFonts w:cs="Courier New"/>
    </w:rPr>
  </w:style>
  <w:style w:type="character" w:customStyle="1" w:styleId="ListLabel12">
    <w:name w:val="ListLabel 12"/>
    <w:qFormat/>
    <w:rsid w:val="00CF0075"/>
    <w:rPr>
      <w:rFonts w:eastAsia="Calibri" w:cs="Times New Roman"/>
    </w:rPr>
  </w:style>
  <w:style w:type="character" w:customStyle="1" w:styleId="ListLabel13">
    <w:name w:val="ListLabel 13"/>
    <w:qFormat/>
    <w:rsid w:val="00CF0075"/>
    <w:rPr>
      <w:rFonts w:cs="Courier New"/>
    </w:rPr>
  </w:style>
  <w:style w:type="character" w:customStyle="1" w:styleId="ListLabel14">
    <w:name w:val="ListLabel 14"/>
    <w:qFormat/>
    <w:rsid w:val="00CF0075"/>
    <w:rPr>
      <w:rFonts w:cs="Courier New"/>
    </w:rPr>
  </w:style>
  <w:style w:type="character" w:customStyle="1" w:styleId="ListLabel15">
    <w:name w:val="ListLabel 15"/>
    <w:qFormat/>
    <w:rsid w:val="00CF0075"/>
    <w:rPr>
      <w:rFonts w:cs="Courier New"/>
    </w:rPr>
  </w:style>
  <w:style w:type="character" w:customStyle="1" w:styleId="ListLabel16">
    <w:name w:val="ListLabel 16"/>
    <w:qFormat/>
    <w:rsid w:val="00CF0075"/>
    <w:rPr>
      <w:rFonts w:eastAsia="Calibri" w:cs="Times New Roman"/>
    </w:rPr>
  </w:style>
  <w:style w:type="character" w:customStyle="1" w:styleId="ListLabel17">
    <w:name w:val="ListLabel 17"/>
    <w:qFormat/>
    <w:rsid w:val="00CF0075"/>
    <w:rPr>
      <w:rFonts w:cs="Courier New"/>
    </w:rPr>
  </w:style>
  <w:style w:type="character" w:customStyle="1" w:styleId="ListLabel18">
    <w:name w:val="ListLabel 18"/>
    <w:qFormat/>
    <w:rsid w:val="00CF0075"/>
    <w:rPr>
      <w:rFonts w:cs="Courier New"/>
    </w:rPr>
  </w:style>
  <w:style w:type="character" w:customStyle="1" w:styleId="ListLabel19">
    <w:name w:val="ListLabel 19"/>
    <w:qFormat/>
    <w:rsid w:val="00CF0075"/>
    <w:rPr>
      <w:rFonts w:cs="Courier New"/>
    </w:rPr>
  </w:style>
  <w:style w:type="character" w:customStyle="1" w:styleId="ListLabel20">
    <w:name w:val="ListLabel 20"/>
    <w:qFormat/>
    <w:rsid w:val="00CF0075"/>
    <w:rPr>
      <w:rFonts w:cs="Courier New"/>
    </w:rPr>
  </w:style>
  <w:style w:type="character" w:customStyle="1" w:styleId="ListLabel21">
    <w:name w:val="ListLabel 21"/>
    <w:qFormat/>
    <w:rsid w:val="00CF0075"/>
    <w:rPr>
      <w:rFonts w:cs="Courier New"/>
    </w:rPr>
  </w:style>
  <w:style w:type="character" w:customStyle="1" w:styleId="ListLabel22">
    <w:name w:val="ListLabel 22"/>
    <w:qFormat/>
    <w:rsid w:val="00CF0075"/>
    <w:rPr>
      <w:rFonts w:cs="Courier New"/>
    </w:rPr>
  </w:style>
  <w:style w:type="character" w:customStyle="1" w:styleId="ListLabel23">
    <w:name w:val="ListLabel 23"/>
    <w:qFormat/>
    <w:rsid w:val="00CF0075"/>
    <w:rPr>
      <w:rFonts w:cs="Courier New"/>
    </w:rPr>
  </w:style>
  <w:style w:type="character" w:customStyle="1" w:styleId="ListLabel24">
    <w:name w:val="ListLabel 24"/>
    <w:qFormat/>
    <w:rsid w:val="00CF0075"/>
    <w:rPr>
      <w:rFonts w:cs="Courier New"/>
    </w:rPr>
  </w:style>
  <w:style w:type="character" w:customStyle="1" w:styleId="ListLabel25">
    <w:name w:val="ListLabel 25"/>
    <w:qFormat/>
    <w:rsid w:val="00CF0075"/>
    <w:rPr>
      <w:rFonts w:cs="Courier New"/>
    </w:rPr>
  </w:style>
  <w:style w:type="character" w:customStyle="1" w:styleId="ListLabel26">
    <w:name w:val="ListLabel 26"/>
    <w:qFormat/>
    <w:rsid w:val="00CF0075"/>
    <w:rPr>
      <w:rFonts w:cs="Courier New"/>
    </w:rPr>
  </w:style>
  <w:style w:type="character" w:customStyle="1" w:styleId="ListLabel27">
    <w:name w:val="ListLabel 27"/>
    <w:qFormat/>
    <w:rsid w:val="00CF0075"/>
    <w:rPr>
      <w:rFonts w:cs="Courier New"/>
    </w:rPr>
  </w:style>
  <w:style w:type="character" w:customStyle="1" w:styleId="ListLabel28">
    <w:name w:val="ListLabel 28"/>
    <w:qFormat/>
    <w:rsid w:val="00CF0075"/>
    <w:rPr>
      <w:rFonts w:cs="Courier New"/>
    </w:rPr>
  </w:style>
  <w:style w:type="character" w:customStyle="1" w:styleId="ListLabel29">
    <w:name w:val="ListLabel 29"/>
    <w:qFormat/>
    <w:rsid w:val="00CF0075"/>
    <w:rPr>
      <w:rFonts w:ascii="Times New Roman" w:eastAsia="Calibri" w:hAnsi="Times New Roman" w:cs="Times New Roman"/>
      <w:sz w:val="24"/>
    </w:rPr>
  </w:style>
  <w:style w:type="character" w:customStyle="1" w:styleId="ListLabel30">
    <w:name w:val="ListLabel 30"/>
    <w:qFormat/>
    <w:rsid w:val="00CF0075"/>
    <w:rPr>
      <w:rFonts w:cs="Courier New"/>
    </w:rPr>
  </w:style>
  <w:style w:type="character" w:customStyle="1" w:styleId="ListLabel31">
    <w:name w:val="ListLabel 31"/>
    <w:qFormat/>
    <w:rsid w:val="00CF0075"/>
    <w:rPr>
      <w:rFonts w:cs="Courier New"/>
    </w:rPr>
  </w:style>
  <w:style w:type="character" w:customStyle="1" w:styleId="ListLabel32">
    <w:name w:val="ListLabel 32"/>
    <w:qFormat/>
    <w:rsid w:val="00CF0075"/>
    <w:rPr>
      <w:rFonts w:cs="Courier New"/>
    </w:rPr>
  </w:style>
  <w:style w:type="character" w:customStyle="1" w:styleId="ListLabel33">
    <w:name w:val="ListLabel 33"/>
    <w:qFormat/>
    <w:rsid w:val="00CF0075"/>
    <w:rPr>
      <w:rFonts w:ascii="Times New Roman" w:eastAsia="Calibri" w:hAnsi="Times New Roman" w:cs="Times New Roman"/>
      <w:sz w:val="24"/>
    </w:rPr>
  </w:style>
  <w:style w:type="character" w:customStyle="1" w:styleId="ListLabel34">
    <w:name w:val="ListLabel 34"/>
    <w:qFormat/>
    <w:rsid w:val="00CF0075"/>
    <w:rPr>
      <w:rFonts w:cs="Courier New"/>
    </w:rPr>
  </w:style>
  <w:style w:type="character" w:customStyle="1" w:styleId="ListLabel35">
    <w:name w:val="ListLabel 35"/>
    <w:qFormat/>
    <w:rsid w:val="00CF0075"/>
    <w:rPr>
      <w:rFonts w:cs="Courier New"/>
    </w:rPr>
  </w:style>
  <w:style w:type="character" w:customStyle="1" w:styleId="ListLabel36">
    <w:name w:val="ListLabel 36"/>
    <w:qFormat/>
    <w:rsid w:val="00CF0075"/>
    <w:rPr>
      <w:rFonts w:cs="Courier New"/>
    </w:rPr>
  </w:style>
  <w:style w:type="character" w:customStyle="1" w:styleId="ListLabel37">
    <w:name w:val="ListLabel 37"/>
    <w:qFormat/>
    <w:rsid w:val="00CF0075"/>
    <w:rPr>
      <w:rFonts w:ascii="Times New Roman" w:eastAsia="Calibri" w:hAnsi="Times New Roman" w:cs="Times New Roman"/>
      <w:sz w:val="24"/>
    </w:rPr>
  </w:style>
  <w:style w:type="character" w:customStyle="1" w:styleId="ListLabel38">
    <w:name w:val="ListLabel 38"/>
    <w:qFormat/>
    <w:rsid w:val="00CF0075"/>
    <w:rPr>
      <w:rFonts w:cs="Courier New"/>
    </w:rPr>
  </w:style>
  <w:style w:type="character" w:customStyle="1" w:styleId="ListLabel39">
    <w:name w:val="ListLabel 39"/>
    <w:qFormat/>
    <w:rsid w:val="00CF0075"/>
    <w:rPr>
      <w:rFonts w:cs="Courier New"/>
    </w:rPr>
  </w:style>
  <w:style w:type="character" w:customStyle="1" w:styleId="ListLabel40">
    <w:name w:val="ListLabel 40"/>
    <w:qFormat/>
    <w:rsid w:val="00CF0075"/>
    <w:rPr>
      <w:rFonts w:cs="Courier New"/>
    </w:rPr>
  </w:style>
  <w:style w:type="character" w:customStyle="1" w:styleId="ListLabel41">
    <w:name w:val="ListLabel 41"/>
    <w:qFormat/>
    <w:rsid w:val="00CF0075"/>
    <w:rPr>
      <w:rFonts w:cs="Times New Roman"/>
    </w:rPr>
  </w:style>
  <w:style w:type="character" w:customStyle="1" w:styleId="ListLabel42">
    <w:name w:val="ListLabel 42"/>
    <w:qFormat/>
    <w:rsid w:val="00CF0075"/>
    <w:rPr>
      <w:rFonts w:cs="Courier New"/>
    </w:rPr>
  </w:style>
  <w:style w:type="character" w:customStyle="1" w:styleId="ListLabel43">
    <w:name w:val="ListLabel 43"/>
    <w:qFormat/>
    <w:rsid w:val="00CF0075"/>
    <w:rPr>
      <w:rFonts w:cs="Courier New"/>
    </w:rPr>
  </w:style>
  <w:style w:type="character" w:customStyle="1" w:styleId="ListLabel44">
    <w:name w:val="ListLabel 44"/>
    <w:qFormat/>
    <w:rsid w:val="00CF0075"/>
    <w:rPr>
      <w:rFonts w:cs="Courier New"/>
    </w:rPr>
  </w:style>
  <w:style w:type="paragraph" w:customStyle="1" w:styleId="Heading">
    <w:name w:val="Heading"/>
    <w:basedOn w:val="Normal"/>
    <w:next w:val="BodyText"/>
    <w:qFormat/>
    <w:rsid w:val="00CF0075"/>
    <w:pPr>
      <w:keepNext/>
      <w:spacing w:before="240" w:after="120"/>
    </w:pPr>
    <w:rPr>
      <w:rFonts w:ascii="Liberation Sans" w:eastAsia="Microsoft YaHei" w:hAnsi="Liberation Sans" w:cs="Mangal"/>
      <w:sz w:val="28"/>
      <w:szCs w:val="28"/>
    </w:rPr>
  </w:style>
  <w:style w:type="paragraph" w:styleId="BodyText">
    <w:name w:val="Body Text"/>
    <w:basedOn w:val="Normal"/>
    <w:rsid w:val="00CF0075"/>
    <w:pPr>
      <w:spacing w:after="140" w:line="276" w:lineRule="auto"/>
    </w:pPr>
  </w:style>
  <w:style w:type="paragraph" w:styleId="List">
    <w:name w:val="List"/>
    <w:basedOn w:val="BodyText"/>
    <w:rsid w:val="00CF0075"/>
    <w:rPr>
      <w:rFonts w:cs="Mangal"/>
    </w:rPr>
  </w:style>
  <w:style w:type="paragraph" w:customStyle="1" w:styleId="Caption1">
    <w:name w:val="Caption1"/>
    <w:basedOn w:val="Normal"/>
    <w:qFormat/>
    <w:rsid w:val="00CF0075"/>
    <w:pPr>
      <w:suppressLineNumbers/>
      <w:spacing w:before="120" w:after="120"/>
    </w:pPr>
    <w:rPr>
      <w:rFonts w:cs="Mangal"/>
      <w:i/>
      <w:iCs/>
      <w:sz w:val="24"/>
      <w:szCs w:val="24"/>
    </w:rPr>
  </w:style>
  <w:style w:type="paragraph" w:customStyle="1" w:styleId="Index">
    <w:name w:val="Index"/>
    <w:basedOn w:val="Normal"/>
    <w:qFormat/>
    <w:rsid w:val="00CF0075"/>
    <w:pPr>
      <w:suppressLineNumbers/>
    </w:pPr>
    <w:rPr>
      <w:rFonts w:cs="Mangal"/>
    </w:rPr>
  </w:style>
  <w:style w:type="paragraph" w:styleId="ListParagraph">
    <w:name w:val="List Paragraph"/>
    <w:basedOn w:val="Normal"/>
    <w:uiPriority w:val="34"/>
    <w:qFormat/>
    <w:rsid w:val="00D30EA4"/>
    <w:pPr>
      <w:ind w:left="720"/>
      <w:contextualSpacing/>
    </w:pPr>
  </w:style>
  <w:style w:type="paragraph" w:customStyle="1" w:styleId="FootnoteText1">
    <w:name w:val="Footnote Text1"/>
    <w:basedOn w:val="Normal"/>
    <w:link w:val="TekstfusnoteChar"/>
    <w:uiPriority w:val="99"/>
    <w:semiHidden/>
    <w:unhideWhenUsed/>
    <w:rsid w:val="00AD05A8"/>
    <w:rPr>
      <w:sz w:val="20"/>
      <w:szCs w:val="20"/>
    </w:rPr>
  </w:style>
  <w:style w:type="paragraph" w:customStyle="1" w:styleId="Header1">
    <w:name w:val="Header1"/>
    <w:basedOn w:val="Normal"/>
    <w:link w:val="ZaglavljeChar"/>
    <w:uiPriority w:val="99"/>
    <w:unhideWhenUsed/>
    <w:rsid w:val="000A0742"/>
    <w:pPr>
      <w:tabs>
        <w:tab w:val="center" w:pos="4536"/>
        <w:tab w:val="right" w:pos="9072"/>
      </w:tabs>
    </w:pPr>
  </w:style>
  <w:style w:type="paragraph" w:customStyle="1" w:styleId="Footer1">
    <w:name w:val="Footer1"/>
    <w:basedOn w:val="Normal"/>
    <w:link w:val="PodnojeChar"/>
    <w:uiPriority w:val="99"/>
    <w:unhideWhenUsed/>
    <w:rsid w:val="000A0742"/>
    <w:pPr>
      <w:tabs>
        <w:tab w:val="center" w:pos="4536"/>
        <w:tab w:val="right" w:pos="9072"/>
      </w:tabs>
    </w:pPr>
  </w:style>
  <w:style w:type="paragraph" w:styleId="BalloonText">
    <w:name w:val="Balloon Text"/>
    <w:basedOn w:val="Normal"/>
    <w:link w:val="BalloonTextChar"/>
    <w:uiPriority w:val="99"/>
    <w:semiHidden/>
    <w:unhideWhenUsed/>
    <w:qFormat/>
    <w:rsid w:val="00CD2A8C"/>
    <w:rPr>
      <w:rFonts w:ascii="Tahoma" w:hAnsi="Tahoma" w:cs="Tahoma"/>
      <w:sz w:val="16"/>
      <w:szCs w:val="16"/>
    </w:rPr>
  </w:style>
  <w:style w:type="paragraph" w:customStyle="1" w:styleId="Style1">
    <w:name w:val="Style1"/>
    <w:basedOn w:val="Heading11"/>
    <w:qFormat/>
    <w:rsid w:val="0081153C"/>
    <w:pPr>
      <w:numPr>
        <w:numId w:val="0"/>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paragraph" w:customStyle="1" w:styleId="FrameContents">
    <w:name w:val="Frame Contents"/>
    <w:basedOn w:val="Normal"/>
    <w:qFormat/>
    <w:rsid w:val="00CF0075"/>
  </w:style>
  <w:style w:type="table" w:styleId="TableGrid">
    <w:name w:val="Table Grid"/>
    <w:basedOn w:val="TableNormal"/>
    <w:uiPriority w:val="59"/>
    <w:rsid w:val="00A6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5E0B9-AFE6-44B1-AACA-753DC3B5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796</Words>
  <Characters>4538</Characters>
  <Application>Microsoft Office Word</Application>
  <DocSecurity>0</DocSecurity>
  <Lines>37</Lines>
  <Paragraphs>10</Paragraphs>
  <ScaleCrop>false</ScaleCrop>
  <Company>Grizli777</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dc:creator>
  <cp:lastModifiedBy>Manuel Mucak</cp:lastModifiedBy>
  <cp:revision>13</cp:revision>
  <cp:lastPrinted>2018-10-19T05:28:00Z</cp:lastPrinted>
  <dcterms:created xsi:type="dcterms:W3CDTF">2018-12-30T15:03:00Z</dcterms:created>
  <dcterms:modified xsi:type="dcterms:W3CDTF">2019-07-05T09:38:00Z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